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- Vzdělávací edukační program 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MŠ Lubenec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21.5.2025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8:00-10:30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Sportovní hala Podbořany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Exkurze se zúčastnili</w:t>
      </w:r>
      <w:r w:rsidDel="00000000" w:rsidR="00000000" w:rsidRPr="00000000">
        <w:rPr>
          <w:rFonts w:ascii="Arial" w:cs="Arial" w:eastAsia="Arial" w:hAnsi="Arial"/>
          <w:rtl w:val="0"/>
        </w:rPr>
        <w:t xml:space="preserve">: žáci a pedagogové z MŠ Lubenec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</w:t>
      </w:r>
      <w:r w:rsidDel="00000000" w:rsidR="00000000" w:rsidRPr="00000000">
        <w:rPr>
          <w:rFonts w:ascii="Arial" w:cs="Arial" w:eastAsia="Arial" w:hAnsi="Arial"/>
          <w:rtl w:val="0"/>
        </w:rPr>
        <w:t xml:space="preserve"> 40 dětí + 5 pedagogů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Dne 21. 5. 2025 jsme se s dětmi mateřské školy zúčastnili exkurze do sportovní haly v Podbořanech. Aktivita byla zacílená na podporu rozvoje matematické pregramotnosti prostřednictvím pohybových a herních činností.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Cílem bylo podpořit u dětí základní matematické dovednosti v reálném prostředí skrze praktické činnosti, které přirozeně rozvíjejí prostorovou orientaci, vnímání tvarů, rytmu a počtu, schopnost rozlišovat velikost, směr, polohu objektu, a základní pojmy typu „více–méně“, „před–za“, „nahoře–dole“, „vpravo–vlevo“.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V rámci připravených aktivit (např. překážkové dráhy s různými prvky jako přechod po lavičce, seskoky, hod na cíl, lezení) byly děti vedeny k plánování pohybu, odhadu vzdálenosti a směru, počítání opakování úkonů (např. 3 přeskoky, 2 oběhnutí kuželu), rozpoznávání geometrických tvarů pomůcek nebo třídění náčiní podle velikosti a tvaru.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Děti si také osvojovaly základní číselné a prostorové představy formou her: například pohybové hry s pokyny typu „postav se mezi dva kužely“, „přeskoč třikrát“, „zapamatuj si pořadí cviků“ nebo „najdi, co je nejvýš/nejníž“.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Přínosy pro děti v oblasti matematické pregramotnosti: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Rozvoj prostorové orientace (vlevo/vpravo, nahoře/dole, za/před).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Práce s rytmem a sekvencí (opakující se pohybové vzorce, např. skok–běh–skok).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Vnímání počtu a kvantity (počítání opakování cviků, počet dětí ve dvojicích/skupinách).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Třídění a porovnávání (velké/malé míče, krátké/dlouhé švihadlo apod.).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Rozvoj paměti a logického myšlení při pohybových úkolech s pravidly.</w:t>
        <w:br w:type="textWrapping"/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Doplňkové benefity: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Posílení hrubé motoriky a koordinace.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Rozvoj sociálních a komunikačních dovedností při spolupráci v týmu.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Emoční prožitek spojený s radostí z pohybu, spontánním objevováním a úspěšným zvládnutím úkolů.</w:t>
        <w:br w:type="textWrapping"/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Tato exkurze poskytla dětem příležitost propojit poznávání a učení s pohybem, a podpořila tak přirozenou cestou jejich rozvoj v oblasti předmatematických představ a dovedností důležitých pro vstup do základního vzdělávání.</w:t>
      </w:r>
    </w:p>
    <w:p w:rsidR="00000000" w:rsidDel="00000000" w:rsidP="00000000" w:rsidRDefault="00000000" w:rsidRPr="00000000" w14:paraId="00000023">
      <w:pPr>
        <w:spacing w:after="240" w:lineRule="auto"/>
        <w:ind w:lef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5779DD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5779DD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5nnc+SKJmhWvzwyvzzYnj/07EQ==">CgMxLjA4AHIhMWd6RnBhcENnT2ZQVnI5ZU43NzExVEhvQzJCUU1WNGVG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2024-12-10T09:41:00Z</dcterms:created>
  <dc:creator>MAS Vladař</dc:creator>
</cp:coreProperties>
</file>