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371"/>
        <w:tblGridChange w:id="0">
          <w:tblGrid>
            <w:gridCol w:w="2689"/>
            <w:gridCol w:w="6371"/>
          </w:tblGrid>
        </w:tblGridChange>
      </w:tblGrid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Exkurze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Vzdělávací edukační program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3.6.2024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8:00-12:00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Zámek Krásný Dvůr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q0itvimupko1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 3.června se děti ze Žatecké mateřské školy U Jezu zúčastnily vzdělávacího edukačního programu na zámku v Krásném Dvoře. Exkurze byla zaměřena na místně zakotvené učení, což pomáhá posilovat vztah dětí k regionu a jeho historickému a přírodnímu dědictví.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4hgcspxtwsc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laen3ubt9gz9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Po příjezdu do Krásného Dvora na děti čekala průvodkyně paní Panýrková, která  děti seznámila s prostředím nádvoří zámku. Přímo v areálu na ně čekala první aktivita – skládání puzzlí s obrazy pro císaře, konkrétně portréty a rodový znak šlechticů, kteří jsou se zámkem spjati. Tato činnost pomohla dětem pochopit význam a historii rodu, který na zámku žil.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a394fosb7opo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htwunoc4w8ib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Další aktivity se konaly v zámeckém parku, kde si děti vyzkoušely hru „na housenku“. Chodily za vedoucím dítětem se škraboškami na očích, což podporovalo jejich spolupráci a důvěru.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ib77msyicch2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49g6s5hwt9ps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Děti také pozorovaly okolní přírodu skrze „kouzelný rámeček“ a hodnotily nejkrásnější pohledy po okolí. Tato činnost jim umožnila vnímat krásy regionální krajiny a rozvíjet estetické cítění.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eohto713tig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utttn3tyvsj8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Během procházky parkem děti sbíraly různé přírodniny (kvítka, lístečky, trávu...) a lepily je na lepicí pásku, čímž vytvořily „náramek pro císařovnu“. Tímto způsobem se hravou formou seznámily s rozmanitostí místní květeny a učily se vážit si přírody.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sjsnp7lpjuz4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83btjvqze15v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U voliéry pro ptáky si děti zahrály na stavění ptačích hnízd a krmení ptáčat. Vyhledávaly obrázky s různým stavebním materiálem a potravou (tráva, pírka, klacíky, semena, bobule, oříšky apod.), což jim přiblížilo život ptáků a jejich potřeby.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ni19i9sc6i03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z9y17vvaf07s" w:id="12"/>
      <w:bookmarkEnd w:id="12"/>
      <w:r w:rsidDel="00000000" w:rsidR="00000000" w:rsidRPr="00000000">
        <w:rPr>
          <w:rFonts w:ascii="Arial" w:cs="Arial" w:eastAsia="Arial" w:hAnsi="Arial"/>
          <w:rtl w:val="0"/>
        </w:rPr>
        <w:t xml:space="preserve">Na závěr si děti vyzkoušely hru na hudební nástroje napodobující zvuky přírody, jako je hrom a bouřka, soví houkání, dešťové hole a různé druhy chrastidel ze skořápek ořechů, drnkací nástroje atp. Tato aktivita byla nejen zábavná, ale také rozvíjela jejich smysl pro rytmus a hudební cítění.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ye95ugwzrxfd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k1l7fzk2d2g6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Dětem se všechny hry náramně líbily. Vracely se plné zážitků a dojmů, a celý výlet se tak opravdu vydařil. Tato exkurze významně přispěla k posílení vztahu dětí k regionu a prohloubila jejich znalosti o místním přírodním a kulturním dědictví.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gmg017j6nomq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oerrdu6y7ln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bookmarkStart w:colFirst="0" w:colLast="0" w:name="_heading=h.1cm9ewe4ayvw" w:id="17"/>
      <w:bookmarkEnd w:id="17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0" name="image2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1MzxGaMDP+8YiqpASxRkReuQAw==">CgMxLjAyDmgucTBpdHZpbXVwa28xMg5oLjRoZ2NzcHh0d3NjODIOaC5sYWVuM3VidDlnejkyDmguYTM5NGZvc2I3b3BvMg5oLmh0d3Vub2M0dzhpYjIOaC5pYjc3bXN5aWNjaDIyDmguNDlnNnM1aHd0OXBzMg5oLmtlb2h0bzcxM3RpZzIOaC51dHR0bjN0eXZzajgyDmguc2pzbnA3bHBqdXo0Mg5oLjgzYnRqdnF6ZTE1djIOaC5uaTE5aTlzYzZpMDMyDmguejl5MTd2dmFmMDdzMg5oLnllOTV1Z3d6cnhmZDIOaC5rMWw3ZnprMmQyZzYyDmguZ21nMDE3ajZub21xMg5oLm9lcnJkdTZ5N2xuYjIOaC4xY205ZXdlNGF5dnc4AHIhMWlDZDc1LVBvVjdTU1RVSHE3T1NZRkExdmhQTUhzbl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