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Setkání partnerství MAP2 -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Závěrečná konference MAP2 Podbořansko-Žatecko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Datum konání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9. 6. 2022 od 14:00 hod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Místo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zámek Krásný Dvůr, Zámek 1, 439 72 Krásný Dvůr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Akce se zúčastnili: </w:t>
      </w:r>
      <w:r w:rsidDel="00000000" w:rsidR="00000000" w:rsidRPr="00000000">
        <w:rPr>
          <w:rFonts w:ascii="Arial" w:cs="Arial" w:eastAsia="Arial" w:hAnsi="Arial"/>
          <w:rtl w:val="0"/>
        </w:rPr>
        <w:t xml:space="preserve">viz prezenční listina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rámci setkání partnerství MAP2 proběhla „Závěrečná konference MAP2 Podbořansko-Žatecko“, jejímž hlavním programem byla: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Praktická ukázka edukačních aktivit zámku Krásný dvůr, zámecká zahrada a park.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Uvítání, poděkování ŘV, PS.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Informace z plánování na školách.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Představení aktualizovaného dokumentu MAP2.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Shrnutí Implementačních aktivit MAP2.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škol a sociálních služeb, SŠ, zaměstnavatelů.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Vyhodnocení pořádaných vzdělávacích akcí.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Kabinet sdílených pomůcek.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Malá technická univerzita.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Zkušenost s plánováním v MAP1, MAP2 v rámci IROP.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Informace o připravovaném MAP3 projektu.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Diskuse a sdílení zkušeností.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Praktická ukázka edukačních aktivit zámku Krásný dvůr, zámecká zahrada a park.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Účastníkům byly představeny vzdělávací aktivity, které probíhají na zámku Krásný Dvůr. Nejprve si vyzkoušeli práci ve dvojicích, kdy každé dvojici byly rozdány kartičky s nějakou otázkou týkající se historie zámku. Podle barevných kombinací pak vyhledávali čísla, ze kterých se snažili dát dohromady letopočet, kdy k dané události došlo. Nakonec se všichni seřadili dle časové posloupnosti a přečetli si nahlas své odpovědi.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aktivitou bylo seznámení účastníků s biotopem parku, především s ptactvem, které zámecký park obývá. Pomocí kartiček byl nasimulován celý biotop, včetně rybníků, keřů, velkých stromů, i těch ztrouchnivělých. Mluvilo se o tom, které ptáky v parku najdeme. Následně každý dostal do ruky kartičku se jménem nějakého ptáka, s jeho požadavky na stravu i na tvorbu hnízda i s informací, kde daný druh hnízdí. Úkolem bylo v časovém limitu co nejdříve najít stejného ptáka do páru, zajistit co nejdříve potravu (nasbíráním příslušných kartiček) a postavit hnízdo (také pomocí nasbíraných kartiček). Vůbec to nebylo jednoduché, zajistit přežití a rozmnožování je docela náročný proces. Na celé akci bylo demonstrováno, jak jsou jednotlivé součásti biotopu provázané a jak stačí opravdu málo, aby byl narušen.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Všechny tyto aktivity jsou velmi interaktivní a žáci škol, pro které jsou určeny, si díky nim získají spoustu informací a poznatků nenásilnou hravou formou.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rámci diskuze doporučila paní Lněničková stránku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www.lecivenastroje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1f497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Uvítání, poděkování ŘV, 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Ryšavý na úvod poděkoval za dosavadní spolupráci všem aktérům, realizačnímu týmu. Jako malé poděkování předal vedoucím PS a zástupcům ŘV květiny.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Informace z plánování na školách.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Zárybnický si připravil a přednesl prezentaci shrnující obsah plánování v projektu. Na začátek prezentace připravil menší statistiku o realizovaném plánování na školách: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9/2018 – 7/2022 --- 150 schůzek na školách  → z toho cca ½ online/jinou  formou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--- 36 škol z území (34 MŠ/ZŠ + 2 ZUŠ)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--- celkem cca. 50 osob (přímé zapojení)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        --- 1 infomail měsíčně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další části prezentace se pak věnoval následujícím několika klíčovým tématům, které byly v rámci schůzek mapovány, řešeny a diskutovány.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DISTANČNÍ VÝUKA (nástroje, zapojení a aktivita žáků a rodičů, klasifikace a její celkové zhodnocení a dopady)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Školy nejvíce využívali při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distanční výuce</w:t>
      </w:r>
      <w:r w:rsidDel="00000000" w:rsidR="00000000" w:rsidRPr="00000000">
        <w:rPr>
          <w:rFonts w:ascii="Arial" w:cs="Arial" w:eastAsia="Arial" w:hAnsi="Arial"/>
          <w:rtl w:val="0"/>
        </w:rPr>
        <w:t xml:space="preserve"> GOOGLE MEEET, GOOGLE CLASSROOM, GOOGLE JAMBOARD, MS TEAMS, ŠKOLA V PYŽAMU, FB skupiny, MESSENGER, WHATSAPP, e-maily, webové stránky školy, doručování/vyzvedávání tištěných materiálů, konzultace…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Účast a aktivita na výuce byla podobná jako při normální výuce, neúčast/pasivita  řešena individuální domluvou, pohovorem s rodiči apod. 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prodlužující se délkou této formy vzdělávání byla na všech aktérech patrná určitá ÚNAVA, V PŘÍPADĚ ŽÁKŮ I ZTRÁTA MOTIVACE.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žáků ze soc. nepodnětného prostředí či jinak znevýhodněných spočívala v - AP na jednotlivých školách +  zajištění (nejčastěji zapůjčení) NTB, sluchátek, mobilního internetu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Rodiče měli počáteční potíže s technickým zajištěním výuky a osvojením si práce se zvolenými nástroji pro online výuku: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+ výtky jak na nízké, tak na vysoké nároky na žáky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+ negativní role některých rodičů – omlouvání z výuky.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Klasifikace byla řešena známkováním, spíše výjimečně doprovázeným slovním hodnocením.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Nesporně negativním důsledkem tohoto období bylo PŘETÍŽENÍ PEDAGOGŮ, např. v malotřídních školách narostl učitelům několikanásobně objem výuky, protože učili každou třídu zvlášť.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MŠ fungovaly většinou ve „standardním“ provozu s přijetím hygienických a jiných opatření.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AKTIVITY NA ŠKOLÁCH (kroužky, aktivity spolupráce mezi školami i s dalšími subjekty, zhodnocení aktivit) 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 se týče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aktivit na školách</w:t>
      </w:r>
      <w:r w:rsidDel="00000000" w:rsidR="00000000" w:rsidRPr="00000000">
        <w:rPr>
          <w:rFonts w:ascii="Arial" w:cs="Arial" w:eastAsia="Arial" w:hAnsi="Arial"/>
          <w:rtl w:val="0"/>
        </w:rPr>
        <w:t xml:space="preserve">, školy v území jsou v této oblasti velice aktivní, nabízejí nejpestřejší škálu aktivit – kroužky. Kromě tradičních kroužků, např. cizí jazyky, tanec, WING TSUN, TAE-BO, thaibox, rybářství, náboženství, kuchařský klub–zdravé vaření, myslivost, robotika či střelba.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Školy také spolupracují mezi sebou – mikrosdílení, akce, exkurze.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Některé realizují např. náslechy v jiné škole a spolupracují s organizacemi jako je MENSA, SOKOL, FAČR  apod.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Jedna z „venkovských“ škol úspěšně realizuje U3V.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PEDAGOGIČTÍ LÍDŘI V ÚZEMÍ (situace v území, výhled do budoucna)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území je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vytvoření širší sítě lídrů</w:t>
      </w:r>
      <w:r w:rsidDel="00000000" w:rsidR="00000000" w:rsidRPr="00000000">
        <w:rPr>
          <w:rFonts w:ascii="Arial" w:cs="Arial" w:eastAsia="Arial" w:hAnsi="Arial"/>
          <w:rtl w:val="0"/>
        </w:rPr>
        <w:t xml:space="preserve"> problematické.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Lídři jsou, ale jsou to jedinci většinou natolik vytížení, že již nemají časové možnosti, případně sílu na další působení v území.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Vytipovávání a získávání lídrů v území bude samozřejmě průběžně pokračovat!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PŘÍKLADY DOBRÉ PRAXE (shrnutí inspirativních aktivit v území)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území se realizuje spousta aktivit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příkladů dobré praxe.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Feuersteinova metoda instrumentálního obohacování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kritické myšlení, CLIL, kooperativní učení, hybridní výuka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Montessori, Začít spolu, Učíme venku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environmentální aktivity,, udržitelný rozvoj, zdravé stravování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informatická pregramotnost v MŠ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U3V, cizinci s OMJ, MENSA, SOKOL, komunitní aktivity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PROBLEMATIKA UKRAJINSKÝCH DĚTÍ (stav, formy zapojení a podpory a další příbuzná témata související s příchodem dětí z území zasažených válkou)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Zárybnický jako jeden z bodů zařadil téma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ukrajinské děti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Školy využívají rodiče či příbuzné, příp. spolužáky původem z Ukrajiny již zde déle žijících jako pomocníky/tlumočníky.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Využívají se extra hodiny a individuální doučování ČJ, příp. AJ několikrát týdně.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PROSTŘEDÍ PRO VZDĚLÁVÁNÍ (zhodnocení stavu a potřeb)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Pan Zárybnický stručně shrnul technický a materiální stav škol v území na základě jeho vlastních zjištění z prohlídek jednotlivých škol. Obecně lze říci, e školy v území poskytují příjemné a podnětné prostředí pro vzdělávání a v případě nějakých (především) technických nedostatků ve stavu budov, jsou nebo do budoucna budou předmětem dalšího plánování a formulace investičních záměrů.  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Závěrem celé prezentace bylo konstatování, že školy v území všechny úkoly, které před ně postavila pandemie Covid-19 a příchod ukrajinských dětí zvládly. Stejně tak zvládly a zvládají realizaci celé řady aktivit a vytváření podnětného prostředí pro vzdělávání svých svěřenců. Ze strany RT MAP bylo konstatováno, že se daří také samotné plánování, kdy jsou potřeby škol přetvořeny v investiční záměry, které v budoucnu pomohou uspokojit dané potřeby a zvýšit kvalitu vzdělávání v území. 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Představení aktualizovaného dokumentu MAP2.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úvodu pan Olah připoměl k čemu dokument MAP slouží. Ze 6 tematických skupin vyplynulo celkem 16 priorit a 49 specifických cílů. 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Čtenářská gramotnost v základním a předškolním vzdělávání  a rozvoj kulturního povědomí a vyjádření dětí a žáků: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oblasti rozvoje čtenářské gramotnosti převládají ve swot analýze především silné stránky a příležitosti. 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příležitostech byly identifikovány například besedy se spisovateli, návštěvy divadelních představení nebo větší podíl tandemové výuky. 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 slabých stránkách pedagogové uvedli například přístup rodičů ke čtenářské gramotnosti dětí nebo větší počet dětí ve třídách při výuce.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Knižní fond a zázemí: Pro rozvoj čtenářské gramotnosti je nutné pravidelně obnovovat knižní fond, mít kvalitní zázemí pro výuku českého jazyka a literatury, ve kterém je možné realizovat čtenářské kluby a čtenářské koutky a podporovat i mimoškolní aktivity, které vedou k rozvoji čtenářské gramotnosti.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Kapacity: Budování kapacit bude probíhat formou vzdělávání pedagogů a šíření informací a zkušeností a dobrých praxí mezi pedagogy především na platformě pracovní skupiny MAP a dalších akcích pro pedagogy, jako jsou knižní veletrhy, výstavy a literární soutěže.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Mimoškolní aktivity: Podporovat žáky v mimoškolních aktivitách, které vedou k rozvoji čtenářské gramotnosti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Matematická a digitální gramotnost na základních školách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oblasti rozvoje matematické gramotnosti je poměrně vyrovnaný počet silných i slabých stránek. 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největší slabou stránku identifikovali pedagogové především nezájem dětí a rodičů o pravidelné kroužky a mimoškolní aktivity zaměřené na rozvoj matematické gramotnosti.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další největší slabá stránka je nedostatek technického a materiálního zabezpečení nebo nevhodné a zastaralé ICT vybavení a nedostatek financí na obnovu ICT vybavení.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Kapacity: Budování kapacit pedagogů prostřednictvím vzdělávání, sdílení zkušeností a pilotováním tandemové výuky. Zapojení odborných tematických skupin pro rozvoj matematické gramotnosti.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Pomůcky: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škol prostřednictvím výukových materiálů a pomůcek pro výuku matematiky a podpora při poskytování informací o možnosti financování úpravy prostor pro výuku.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Zájem: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zájmu žáků prostřednictvím logických a deskových her ve výuce a účastí v matematických soutěžích. Stálá nabídka doučování z matematiky.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Rozvoj podnikavosti a iniciativy dětí a žáků, rozvoj kompetencí dětí a žáků v polytechnickém a environmentálním vzdělávání a kariérové poradenství v základních školách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rozvoji polytechnického vzdělávání převládají silné stránky.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Ze slabých stránek byla identifikována potřeba vyhovujících prostor pro výuku polytechnických předmětů a potřeba dostatečného materiálního zajištění pro výuku. 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slabé stránky zařadili pedagogové také nízkou motivaci žáků a nedostatečnou spolupráci se SŠ. 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příležitost vidí například propojení technického vzdělávání mezi ZŠ a MŠ a rozvoj spolupráce s rodiči nebo rozšíření nabídky exkurzí.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Kariérové poradenství a zájmové aktivity: Zajistit program kariérového poradenství pro žáky základních škol a program polytechnického vzdělávání pro děti z mateřských škol. Rozšířit nabídku zájmových aktivit v oblasti polytechniky a zajistit zajímavé exkurze pro žáky.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Zázemí: Vyhledávat vhodné zdroje pro rekonstrukci prostorů pro vzdělávání.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Rozvoj kompetencí dětí a žáků pro aktivní používání cizího jazyka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oblasti rozvoje užívání cizích jazyků převládají především slabé stránky. 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slabé patří například nedostatečné množství cizojazyčné literatury a nedostatek jazykově podnětného prostředí.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 tím je spojeno i nedostatečné materiálně technické vybavení a menší počet mimoškolních aktivit. 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velmi efektivní se ukazují půlené hodiny a skupinové projekty v cizím jazyce. 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Příležitostí je využití zahraničních pobytů, na které však často nejsou finanční prostředky nebo chybí kapacity, které by administrovali náročné zahraniční projekty.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Kapacity: Podpora kapacit pedagogů prostřednictvím vzdělávání v metodických postupech a sdílením zkušeností mezi pedagogy a školami.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Pomůcky: Podpora škol prostřednictvím nákupu cizojazyčné literatury a dalších pomůcek.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Předškolní vzdělávání a výchova – inkluze, kvalita, kapacita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oblasti předškolního vzdělávání přesahují silné stránky slabé stránky. 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silné stránky lze zařadit především dostatek školních asistentů v MŠ a podporu bezproblémového přechodu dětí na první stupeň základních škol. 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Jako slabá stránka byla identifikována nemožnost získat asistenta pro dítě s odlišným mateřským jazykem a celkově pak práce s dětmi s odlišným mateřským jazykem.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 rámci diskuze zazněl dotaz na možnost využití e-knihy.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Budování znalostních kapacit pedagogů mateřských škol v oblasti rovných příležitostí prostřednictvím vzdělávání pedagogů v oblasti logopedické prevence a práce s dětmi s odlišným mateřským jazykem.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rozvoje vybavení mateřských škol v oblasti čtenářské pregramotnosti prostřednictvím nákupu nové literatury a dalších pomůcek a programů.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mimoškolních aktivit na podporu matematické pregramotnosti, především prostřednictvím tematicky zaměřených exkurzí pro děti.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Zpracování přehledu dosavadních prací v oblasti vzdělávání v užívání cizího jazyka na mateřských školách a pilotní testování forem a přístupů a ve výuce cizích jazyků.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Rovné příležitosti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Vyhodnocení swot analýzy: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oblasti rovných příležitostí byla identifikována celá řada silných stránek, jako je například spolupráce s NNO a městy nebo zájem pedagogů o efektivní komunikaci s žáky a jejich rodiči.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Mezi slabé stránky bylo zařazeno například nedostatečné vymezení kompetencí asistenta pedagoga nebo zhoršené podmínky pro vzdělávání dětí s odlišným mateřským jazykem.</w:t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Zvolená strategie: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Zlepšení přechodu žáků do sekundárního vzdělávání.</w:t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Spolupráce s nepedagogickými pracovníky a pracovníky poskytovatelů prorodinných a sociálních služeb tak, aby vznikla síť místní podpory pro žáky a jejich rodiče.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Budování kapacit pedagogů prostřednictvím vzdělávání dětí se speciálními vzdělávacími potřebami a sdílením zkušeností mezi pedagogy.</w:t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Podpora mimoškolních aktivit pro žáky nejen ze sociokulturně odlišného prostředí..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Shrnutí Implementačních aktivit MAP2.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škol a sociálních služeb, SŠ, zaměstnavatelů.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Vyhodnocení pořádaných vzdělávacích akcí.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Kabinet sdílených pomůcek.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Malá technická univerzita.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Spolupráce škol a sociálních služeb, SŠ, zaměstnavatelů.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Adámková informovala, že výstupem MAP mohou být i plánované aktivity cílené mimo resort školství, například do oblasti sociálních služeb nebo neformálního vzdělávání, pokud je potřebné zvýšit jejich dostupnost, kvalitu nebo spolupráci v zájmu rozvoje vzdělávacího potenciálu dětí a žáků nebo poskytují například preventivně výchovné aktivity.</w:t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MAP navázal v oblasti KP spolupráci s následujícími zástupci: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OHK Chomutov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Koordinátoři projektu KARIPO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PZ Triangle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PPP Louny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ÚP Louny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MAP navázal v oblasti sociální péče a služeb pro rodiny s dětmi  spolupráci s následujícími zástupci: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Česká společnost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Budík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Charita Most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Klokánek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Kamarád LORM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Výchovný ústav Pšov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Sedmikráska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Vavřinec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centrum Podkrušnohoří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Náhradní rodiny ÚK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Církev bez hranic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MC Jablíčko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k naději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PPP Žatec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RMC Jonáš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Sociální centrum pro rodinu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VČC Bertík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Dlouhodobější spolupráce je navázána s organizacemi: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OSPOD Žatec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OSPOD Podbořany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Nízkoprahové zařízení CoolNa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MěÚ Žatec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 Podbořany</w:t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Adámková dále v rámci prezentace představila statistiku týkající se Spolupráce škol a sociálních služeb, SŠ, zaměstnavatelů: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Proběhlo 34 jednání s poskytovateli rodinných a psychosociálních služeb za účelem realizace platformy pro spolupráci pedagogů a služeb, kterých se </w:t>
      </w:r>
      <w:r w:rsidDel="00000000" w:rsidR="00000000" w:rsidRPr="00000000">
        <w:rPr>
          <w:rFonts w:ascii="Arial" w:cs="Arial" w:eastAsia="Arial" w:hAnsi="Arial"/>
          <w:rtl w:val="0"/>
        </w:rPr>
        <w:t xml:space="preserve">zúčastnilo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85 osob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Realizovali jsme setkání kariérových poradců za účelem rozvoje kariérového poradenství – 28 osob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Byla uspořádána 2 setkání škol s organizací OSPOD – Podbořany a Žatec – 40 osob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Zorganizovali jsme setkání škol, služeb pro rodiny s dětmi a organizace OSPOD – 32 osob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Byla uspořádána celkem 2 představení nízkoprahového zařízení CoolNa – 30 osob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školách proběhlo celkem 10 jednání s KP, 9 jednání s VP a 10 jednání s VP+KP a 1 jednání s SP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Vyhodnocení pořádaných vzdělávacích akcí.</w:t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Adámková informovala o počtu vzdělávacích akcí uskutečněných v rámci projektu MAP2: bylo zrealizováno 16 seminářů (z toho jeden ve 3 vzdělávacích blocích a devět ve 2 vzdělávacích blocích, 6 workshopů a 14 webinářů, tedy celkem 36 akcí za účasti 786 pedagogů.</w:t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Témata vzdělávacích akcí byly převážně: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Správní řízení, odpovědnost pedagogických pracovníků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Podpora čtenářské gramotnosti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Hodnocení žáků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Kritické myšlení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Robotika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Využití mobilních technologií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Badatelsky orientovaná výuka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Rovné příležitosti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Prevence vyhoření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Osobnostní rozvoj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Tipy na pomůcky do výuky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Podpora žáků s OMJ (odlišný mateřský jazyk)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Práce s nadanými žáky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Tipy na výuku angličtiny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Využití MS Teams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Efektivní využívání MS Office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Distanční výuka matematiky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GeoGebra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Využití pomůcek při výuce matematiky Hejného metodou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Využití iPadů ve vzdělávání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Programovací jazyk Scratch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Emoční a sociální zralost osobnosti dítěte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Logopedická prevence</w:t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akce, které proběhly: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besedy na školách pro děti, zaměřené na podporu čtenářství a kulturního povědomí o našem regionu (z toho  jedna z nich byla rozdělena do dvou stejných částí) – zúčastnilo se jich 16 pedagogů a cca 100 žáků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akce pro rodiče – 2 Literární kavárny a 2 workshopy – celkově se jich zúčastnilo 48 účastníků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Podpořili jsme účast pedagogů na 2 kurzech – Feuersteinově metodě (2 osoby) a Učíme se venku (22 osob)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Exkurze: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celou dobu projektu MAP II bylo zrealizováno 14 exkurzí, a to za účasti 414 osob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Byla podpořena oblast rovných příležitostí, čtenářské i matematické gramotnosti, polytechniky, environmentální i kulturního povědomí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Opět – bylo by jich mnohem více nebýt Covidu, díky kterému byla realizace takových akcí pozastavena.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trvání projektu MAP2 jsme navštívili: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Planetárium Most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Elektrárnu Ledvice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Horský areál Lesná 3x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History Park Ledčice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Techmánii Plzeň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IQ Landii Liberec 2x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Prahu s památkami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Mořský svět 2x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Klínovec a Boží Dar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Království železnic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Kabinet sdílených pomůcek.</w:t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webu vzdelavani-zatecko.cz je k současné chvíli evidováno 104 pomůcek (a to i pomůcek z projektu MAP I), v celkové částce 318 508,-Kč.</w:t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Najdete zde např. virtuální brýle, koberce na poznávání ČR a Evropy, mikroskopy, různé robotické hračky – Bee-Boty, Makeblock Codey Rocky, Blue-Boty, mTiny, 3D tiskárnu, pomůcky na výuku angličtiny, experimentální sady, motorické pomůcky, reportérskou sadu, různé stavebnice, závěsné mapy, sady literatury pro ZŠ, MŠ i environmentální, zajímavé publikace pro pedagogy, karty IMAGLEE, různé didaktické pomůcky, učebnice a pomůcky pro výuku matematiky Hejného metodou, ale také např. ozvučovací soupravu, studiovou sadu pozadí a světel či nově např. termokameru.</w:t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Tyto pomůcky si pedagogové měli možnost vyzkoušet a referovat o nich na pracovních skupinách pedagogům z ostatních škol. Reference probíhaly buď formou článku, recenzí nebo formou prezentace a demonstrace na pracovních skupinách.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Největší zájem byl o zapůjčení Bee-Botů, pomůcek pro výuku angličtiny a reportérské sady, v úzkém závěsu za tím pak koberců, experimentálních sad, motorických pomůcek a stavebnic</w: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když implementace projektu končí, dál bude možné si některé z pomůcek půjčovat a vyměňovat v rámci území.</w: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Malá technická univerzita.</w: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Cílem aktivity bylo zvýšit kvalitu polytechnického vzdělávání v MŠ a I. Stupni ZŠ</w: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Průběh: Program se uskutečňoval po dobu tří let, menší omezení bylo v covidovém období, ale i tak se lekce uskutečňovaly v desítkách mateřských škol a následně i v družinách.</w:t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Pozitivní přínos se zaznamenal v aktivní a hojné účasti dětí, kdy se děti učily různým dovednostem, komunikaci, vzájemné spolupráci a nebo naopak samostatnosti a v neposlední řadě trpělivosti. Dále také rozvíjely motorickou obratnost. Součástí několika lekcí byla např. stavba Karlova mostu, stavba Ještědu, děti se také dozvěděly, jak to funguje v čističce odpadních vod.</w:t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Ryšavý si připravil menší statistiku k aktivitě MTU během projektu MAP2: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1x lektor z projektu + licence MTU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MŠ 240 realizováno 240 lekcí s účastí 3569 dětí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ZŠ 51 lekcí s účastí 893 žáků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Celkem 291 lekcí, 4492 účastníků</w:t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color w:val="1f497d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Zkušenost s plánováním v MAP1, MAP2 v rámci IROP.</w:t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Paní Nipauerová si připravila prezentaci na téma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Programové období 2014 – 2020</w:t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Přehled podpořených projektů v Ústeckém, Plzeňském a Karlovarském kraji.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Informovala o počtu vyhlášených výzev a celkovém počtu podpořených výzev z IROP5 Zvýšení kvality a dostupnosti infrastruktury pro vzdělávání a celoživotní učení.</w:t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Prezentovala tabulku úspěšných žadatelů a projektů v rámci ORP Žatec, Podbořany a Kadaň.</w:t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nacházejí na stránkách MAS Vladař.</w:t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INFORMACE „nejen“ o projektech na stránkách </w:t>
      </w:r>
      <w:r w:rsidDel="00000000" w:rsidR="00000000" w:rsidRPr="00000000">
        <w:rPr>
          <w:rFonts w:ascii="Arial" w:cs="Arial" w:eastAsia="Arial" w:hAnsi="Arial"/>
          <w:color w:val="4f81bd"/>
          <w:u w:val="single"/>
          <w:rtl w:val="0"/>
        </w:rPr>
        <w:t xml:space="preserve">www.vladar.cz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Projekty podpořené MAS Vladař v IROP „SESTAV si svůj PROJEKT“ </w:t>
      </w:r>
      <w:r w:rsidDel="00000000" w:rsidR="00000000" w:rsidRPr="00000000">
        <w:rPr>
          <w:rFonts w:ascii="Arial" w:cs="Arial" w:eastAsia="Arial" w:hAnsi="Arial"/>
          <w:color w:val="4f81bd"/>
          <w:u w:val="single"/>
          <w:rtl w:val="0"/>
        </w:rPr>
        <w:t xml:space="preserve">https://www.vladar.cz/projekt.php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Kontaktní osoba za MAS Vladař: </w:t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Nipauerová Andrea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manažer IROP – CLLD MAS Vladař</w:t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andrea.nipauerova@vladar.cz</w:t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tel.: +420 731 416 889</w:t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Ryšavý všechny informoval o aktuálně zaslané žádosti o aktualizaci záměrů (aktualizace SR), termín dodání do 17. 6. 2022.</w:t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rtl w:val="0"/>
        </w:rPr>
        <w:t xml:space="preserve">Informace o připravovaném MAP3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 Ryšavý účastníky informoval o podané žádosti na realizaci MAP3 Podbořansko-Žatecko – momentálně čekáme na hodnocení.</w:t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Zápis zapsal:</w:t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Lenka Ryšavá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1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1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4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12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lnweb">
    <w:name w:val="Normal (Web)"/>
    <w:basedOn w:val="Normln"/>
    <w:uiPriority w:val="99"/>
    <w:unhideWhenUsed w:val="1"/>
    <w:rsid w:val="009A3F55"/>
    <w:pPr>
      <w:spacing w:after="100" w:afterAutospacing="1" w:before="100" w:beforeAutospacing="1"/>
    </w:pPr>
  </w:style>
  <w:style w:type="character" w:styleId="Siln">
    <w:name w:val="Strong"/>
    <w:basedOn w:val="Standardnpsmoodstavce"/>
    <w:uiPriority w:val="22"/>
    <w:qFormat w:val="1"/>
    <w:rsid w:val="009A3F55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9A3F55"/>
    <w:rPr>
      <w:i w:val="1"/>
      <w:iCs w:val="1"/>
    </w:rPr>
  </w:style>
  <w:style w:type="character" w:styleId="Hypertextovodkaz">
    <w:name w:val="Hyperlink"/>
    <w:basedOn w:val="Standardnpsmoodstavce"/>
    <w:uiPriority w:val="99"/>
    <w:unhideWhenUsed w:val="1"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 w:val="1"/>
    <w:rsid w:val="00B0483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04834"/>
  </w:style>
  <w:style w:type="paragraph" w:styleId="Zpat">
    <w:name w:val="footer"/>
    <w:basedOn w:val="Normln"/>
    <w:link w:val="ZpatChar"/>
    <w:uiPriority w:val="99"/>
    <w:unhideWhenUsed w:val="1"/>
    <w:rsid w:val="00B0483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04834"/>
  </w:style>
  <w:style w:type="paragraph" w:styleId="Odstavecseseznamem">
    <w:name w:val="List Paragraph"/>
    <w:basedOn w:val="Normln"/>
    <w:uiPriority w:val="34"/>
    <w:qFormat w:val="1"/>
    <w:rsid w:val="007B5F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ecivenastroje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1vCxhDosax/BCgnGxrTwemL1OA==">AMUW2mUVbRjYxPnNQCq3s4/qpNgN2TEVgoufU1JDA3Zn92HPrc9Zr7G6SxgxFj9L4f3Ako54+3E6a8lcMV/AgBh45JhX7shFB4BbMHL+8+8dFvtNZ4JO2cJvogZq4m+kk3G9g/zaMnd2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2022-06-09T14:42:00Z</dcterms:created>
  <dc:creator>sutajla</dc:creator>
</cp:coreProperties>
</file>